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9D" w:rsidRPr="00E0269D" w:rsidRDefault="00E0269D" w:rsidP="00E0269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bg-BG"/>
        </w:rPr>
      </w:pPr>
      <w:r w:rsidRPr="00E0269D">
        <w:rPr>
          <w:rFonts w:ascii="Times New Roman" w:eastAsia="Calibri" w:hAnsi="Times New Roman" w:cs="Times New Roman"/>
          <w:b/>
          <w:u w:val="single"/>
          <w:lang w:val="bg-BG"/>
        </w:rPr>
        <w:t>МИНИСТЕРСТВО НА РЕГИОНАЛНОТО РАЗВИТИЕ И БЛАГОУСТРОЙСТВОТО</w:t>
      </w:r>
    </w:p>
    <w:p w:rsidR="00E0269D" w:rsidRPr="00E0269D" w:rsidRDefault="00E0269D" w:rsidP="00E026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E0269D" w:rsidRDefault="00E0269D" w:rsidP="00E026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E0269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ПРОЕКТ</w:t>
      </w:r>
    </w:p>
    <w:p w:rsidR="00E0269D" w:rsidRPr="00E0269D" w:rsidRDefault="00E0269D" w:rsidP="00E026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E0269D" w:rsidRPr="00E0269D" w:rsidRDefault="00E0269D" w:rsidP="00E0269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026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проект на Наредба за изменение и допълнение на</w:t>
      </w:r>
    </w:p>
    <w:p w:rsidR="00F85C20" w:rsidRDefault="00E0269D" w:rsidP="00E0269D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026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</w:t>
      </w:r>
      <w:r w:rsidRPr="00E0269D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proofErr w:type="spellStart"/>
      <w:r w:rsidRPr="00E0269D">
        <w:rPr>
          <w:rFonts w:ascii="Times New Roman" w:eastAsia="Calibri" w:hAnsi="Times New Roman" w:cs="Times New Roman"/>
          <w:sz w:val="24"/>
          <w:szCs w:val="24"/>
          <w:lang w:val="bg-BG"/>
        </w:rPr>
        <w:t>обн</w:t>
      </w:r>
      <w:proofErr w:type="spellEnd"/>
      <w:r w:rsidRPr="00E0269D">
        <w:rPr>
          <w:rFonts w:ascii="Times New Roman" w:eastAsia="Calibri" w:hAnsi="Times New Roman" w:cs="Times New Roman"/>
          <w:sz w:val="24"/>
          <w:szCs w:val="24"/>
          <w:lang w:val="bg-BG"/>
        </w:rPr>
        <w:t>., ДВ, бр. 12 от 2021 г.; попр., бр. 18 от 2021 г., доп., бр. 42 от 2021 г., изм., бр. 55 от 2021 г., изм. и доп., бр. 20 от 2022 г.)</w:t>
      </w:r>
    </w:p>
    <w:p w:rsidR="00E0269D" w:rsidRDefault="00E0269D" w:rsidP="00E0269D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0269D" w:rsidRDefault="00E0269D" w:rsidP="00E0269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549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Член 22 се изменя така: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„Чл. 22.</w:t>
      </w:r>
      <w:r w:rsidRPr="00E0269D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val="bg-BG" w:eastAsia="ar-SA"/>
        </w:rPr>
        <w:t xml:space="preserve"> 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(1) Броят на достъпните места за паркиране на автомобили на хора с увреждания на паркингите към сгради за обществено обслужване се определя допълнително към капацитета на паркинга, както следва: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1. най-малко едно място за паркиране се предвижда в паркингите с до 10 места;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2. най-малко две места за паркиране се предвиждат в паркингите с до 30 места;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3. най-малко три места за паркиране се предвиждат в паркингите с до 50 места;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4. най-малко 4 на сто от общия брой на местата за паркиране се предвиждат в паркингите с повече от 50 места;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5. най-малко 10 на сто от местата за паркиране се предвиждат в паркингите към сгради, предназначени за лечебни, социални, рехабилитационни, спортни и производствени дейности, и приемни сгради на транспорта, но не по-малко от едно достъпно място за паркиране.</w:t>
      </w:r>
    </w:p>
    <w:p w:rsidR="008D4EAE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(2) </w:t>
      </w:r>
      <w:r w:rsidR="008D4EAE" w:rsidRPr="008D4EAE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Броят на достъпните места за паркиране на автомобили на хора с увреждания на паркингите към </w:t>
      </w:r>
      <w:r w:rsidR="008D4EAE"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нови многофамилни жилищни сгради е равен на броя на жилищата в съответствие с приложение № 4 по реда на чл. </w:t>
      </w:r>
      <w:bookmarkStart w:id="0" w:name="_GoBack"/>
      <w:bookmarkEnd w:id="0"/>
      <w:r w:rsidR="008D4EAE"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39, ал. 2 </w:t>
      </w:r>
      <w:r w:rsidR="0095667F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като</w:t>
      </w:r>
      <w:r w:rsidR="008D4EAE"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местата се осигуряват в рамките на капацитета на паркинга.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(3) Достъпни места за паркиране </w:t>
      </w:r>
      <w:r w:rsidR="003D669A" w:rsidRPr="008D4EAE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на автомобили на хора с увреждания на паркингите</w:t>
      </w:r>
      <w:r w:rsidR="003D669A"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към нови сгради със смесено предназначение се осигуряват, както следва: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1. в случаите, когато </w:t>
      </w:r>
      <w:r w:rsidR="003D669A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в 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сградата </w:t>
      </w:r>
      <w:r w:rsidR="003D669A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са предвидени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жилища, по отношение на жилищната част от нея се спазват изискванията </w:t>
      </w:r>
      <w:r w:rsidR="00976087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по</w:t>
      </w:r>
      <w:r w:rsidR="00976087"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ал. 2;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2. допълнително към капацитета на паркинга, определен за самостоятелните обекти за обществено обслужване, при спазване на изискванията по ал. 1.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(4) Необходимият брой на местата за паркиране (капацитета на паркинга) се определя съгласно Наредба № РД-02-20-2 от 2017 г. за планиране и проектиране на комуникационно транспортната система за урбанизираните територии (</w:t>
      </w:r>
      <w:proofErr w:type="spellStart"/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обн</w:t>
      </w:r>
      <w:proofErr w:type="spellEnd"/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., ДВ, бр. 7 от 2018 г.). </w:t>
      </w:r>
    </w:p>
    <w:p w:rsidR="00E0269D" w:rsidRPr="00E0269D" w:rsidRDefault="00E0269D" w:rsidP="00E0269D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</w:t>
      </w:r>
      <w:r w:rsid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5</w:t>
      </w:r>
      <w:r w:rsidRPr="00E0269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) От достъпните места за паркиране по ал. 1, 2 и 3 до достъпния вход на сградата/самостоятелния обект се осигурява достъпен маршрут с равна и нехлъзгава настилка и необходимите за конкретния случай елементи за осигуряване на достъпната среда (напр. изпълнение на преход от тротоара към пътното платно, на елементи за преодоляване на различни височини, на тактилни ивици и други приложими решения).</w:t>
      </w:r>
      <w:r w:rsidR="003059F7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“</w:t>
      </w:r>
    </w:p>
    <w:p w:rsidR="00E0269D" w:rsidRDefault="0055500E" w:rsidP="00E0269D">
      <w:pPr>
        <w:suppressAutoHyphens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Calibri"/>
          <w:sz w:val="24"/>
          <w:szCs w:val="24"/>
          <w:lang w:val="bg-BG" w:eastAsia="ar-SA"/>
        </w:rPr>
      </w:pPr>
      <w:r w:rsidRPr="00D54908">
        <w:rPr>
          <w:rFonts w:ascii="Times New Roman" w:eastAsia="Times New Roman" w:hAnsi="Times New Roman" w:cs="Calibri"/>
          <w:b/>
          <w:sz w:val="24"/>
          <w:szCs w:val="24"/>
          <w:lang w:val="bg-BG" w:eastAsia="ar-SA"/>
        </w:rPr>
        <w:t>§ 2.</w:t>
      </w:r>
      <w:r>
        <w:rPr>
          <w:rFonts w:ascii="Times New Roman" w:eastAsia="Times New Roman" w:hAnsi="Times New Roman" w:cs="Calibri"/>
          <w:sz w:val="24"/>
          <w:szCs w:val="24"/>
          <w:lang w:val="bg-BG" w:eastAsia="ar-SA"/>
        </w:rPr>
        <w:t xml:space="preserve"> </w:t>
      </w:r>
      <w:r w:rsidR="00D54908">
        <w:rPr>
          <w:rFonts w:ascii="Times New Roman" w:eastAsia="Times New Roman" w:hAnsi="Times New Roman" w:cs="Calibri"/>
          <w:sz w:val="24"/>
          <w:szCs w:val="24"/>
          <w:lang w:val="bg-BG" w:eastAsia="ar-SA"/>
        </w:rPr>
        <w:t>Ч</w:t>
      </w:r>
      <w:r>
        <w:rPr>
          <w:rFonts w:ascii="Times New Roman" w:eastAsia="Times New Roman" w:hAnsi="Times New Roman" w:cs="Calibri"/>
          <w:sz w:val="24"/>
          <w:szCs w:val="24"/>
          <w:lang w:val="bg-BG" w:eastAsia="ar-SA"/>
        </w:rPr>
        <w:t>л</w:t>
      </w:r>
      <w:r w:rsidR="00D54908">
        <w:rPr>
          <w:rFonts w:ascii="Times New Roman" w:eastAsia="Times New Roman" w:hAnsi="Times New Roman" w:cs="Calibri"/>
          <w:sz w:val="24"/>
          <w:szCs w:val="24"/>
          <w:lang w:val="bg-BG" w:eastAsia="ar-SA"/>
        </w:rPr>
        <w:t>ен</w:t>
      </w:r>
      <w:r>
        <w:rPr>
          <w:rFonts w:ascii="Times New Roman" w:eastAsia="Times New Roman" w:hAnsi="Times New Roman" w:cs="Calibri"/>
          <w:sz w:val="24"/>
          <w:szCs w:val="24"/>
          <w:lang w:val="bg-BG" w:eastAsia="ar-SA"/>
        </w:rPr>
        <w:t xml:space="preserve"> 83 се </w:t>
      </w:r>
      <w:r w:rsidR="00D54908">
        <w:rPr>
          <w:rFonts w:ascii="Times New Roman" w:eastAsia="Times New Roman" w:hAnsi="Times New Roman" w:cs="Calibri"/>
          <w:sz w:val="24"/>
          <w:szCs w:val="24"/>
          <w:lang w:val="bg-BG" w:eastAsia="ar-SA"/>
        </w:rPr>
        <w:t>изменя така:</w:t>
      </w:r>
    </w:p>
    <w:p w:rsidR="00D54908" w:rsidRPr="00D54908" w:rsidRDefault="00D54908" w:rsidP="00D54908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„</w:t>
      </w: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Чл. 83. (1) В сградите за обществено обслужване и в производствените сгради, в </w:t>
      </w: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lastRenderedPageBreak/>
        <w:t>които се устройват работни места за хора с увреждания на опорно-двигателния апарат, на тялото и/или на долните крайници и/или за хора с увредено зрение, най-малко едно санитарно-хигиенно помещение, свързано с достъпните маршрути на помещенията и пространствата за общо ползване, трябва да отговаря на изискванията за достъпност, определени с тази наредба.</w:t>
      </w:r>
    </w:p>
    <w:p w:rsidR="00D54908" w:rsidRPr="00D54908" w:rsidRDefault="00D54908" w:rsidP="00D54908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(2) В самостоятелни обекти за обществено обслужване, в които се устройват работни места за хора с увреждания на опорно-двигателния апарат, на тялото и/или на долните крайници и/или за хора с увредено зрение, се осигурява най-малко едно санитарно-хигиенно помещение в съответствие с изискванията за достъпност, определени с тази наредба.</w:t>
      </w:r>
    </w:p>
    <w:p w:rsidR="00D54908" w:rsidRPr="00D54908" w:rsidRDefault="00D54908" w:rsidP="00D54908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(3) В производствените сгради по ал. 1 и в обектите по ал. 2 се осигурява достъпен маршрут от устроените работни места до достъпното санитарно-хигиенно помещение. </w:t>
      </w:r>
    </w:p>
    <w:p w:rsidR="00D54908" w:rsidRPr="00D54908" w:rsidRDefault="00D54908" w:rsidP="00D54908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(4) Достъпното санитарно-хигиенно помещение се обозначава с международния символ за достъпност (фиг. 5) и в съответствие с изискванията на чл. 61.</w:t>
      </w:r>
    </w:p>
    <w:p w:rsidR="00D54908" w:rsidRPr="00D54908" w:rsidRDefault="00D54908" w:rsidP="00D54908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(5) На 40 cm пред входа на достъпното санитарно-хигиенно помещение в сградите за обществено обслужване се полагат тактилни плочи за внимание, свързани със системата от тактилни плочи за насочване в сградата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.</w:t>
      </w:r>
    </w:p>
    <w:p w:rsidR="00E0269D" w:rsidRDefault="00D54908" w:rsidP="00B13B1C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D54908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(6) В случаите, когато съобразно функционалното предназначение на самостоятелен обект за обществено обслужване се изисква с нормативен акт да се осигури санитарно-хигиенно помещение за ползване от клиентите, най-малко едно санитарно-хигиенно помещение за клиентите се предвижда достъпно за хора с увреждания в съответствие с изискванията на тази наредба.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“</w:t>
      </w:r>
    </w:p>
    <w:p w:rsidR="0024426B" w:rsidRDefault="0024426B" w:rsidP="00B13B1C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</w:p>
    <w:p w:rsidR="0024426B" w:rsidRDefault="0024426B" w:rsidP="00B13B1C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</w:p>
    <w:p w:rsidR="0024426B" w:rsidRPr="0024426B" w:rsidRDefault="0024426B" w:rsidP="0024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2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Преходни и заключителни разпоредби</w:t>
      </w:r>
    </w:p>
    <w:p w:rsidR="0024426B" w:rsidRPr="0024426B" w:rsidRDefault="0024426B" w:rsidP="0024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24426B" w:rsidRPr="0024426B" w:rsidRDefault="0024426B" w:rsidP="002442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24426B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val="bg-BG" w:eastAsia="ar-SA"/>
        </w:rPr>
        <w:t xml:space="preserve">§ </w:t>
      </w:r>
      <w:r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eastAsia="ar-SA"/>
        </w:rPr>
        <w:t>3</w:t>
      </w:r>
      <w:r w:rsidRPr="0024426B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val="bg-BG" w:eastAsia="ar-SA"/>
        </w:rPr>
        <w:t>.</w:t>
      </w:r>
      <w:r w:rsidRPr="0024426B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(1) Наредбата се прилага за инвестиционни проекти, за които производството по одобряване на инвестиционен проект и производството по издаване на разрешение за строеж започва след влизането </w:t>
      </w:r>
      <w:r w:rsidRPr="0024426B">
        <w:rPr>
          <w:rFonts w:ascii="Times New Roman" w:eastAsia="Times New Roman" w:hAnsi="Times New Roman" w:cs="Calibri"/>
          <w:sz w:val="24"/>
          <w:szCs w:val="24"/>
          <w:lang w:val="bg-BG" w:eastAsia="ar-SA"/>
        </w:rPr>
        <w:t>ѝ</w:t>
      </w:r>
      <w:r w:rsidRPr="0024426B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 в сила.</w:t>
      </w:r>
    </w:p>
    <w:p w:rsidR="0024426B" w:rsidRDefault="0024426B" w:rsidP="002442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24426B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(2)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орган.</w:t>
      </w:r>
    </w:p>
    <w:p w:rsidR="0024426B" w:rsidRPr="0024426B" w:rsidRDefault="0024426B" w:rsidP="002442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</w:pPr>
      <w:r w:rsidRPr="0024426B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(3) По желание на възложителя проектите по ал. 1 могат да бъдат преработени в съответствие с 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 xml:space="preserve">тази наредба </w:t>
      </w:r>
      <w:r w:rsidRPr="0024426B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bg-BG" w:eastAsia="ar-SA"/>
        </w:rPr>
        <w:t>и да бъдат внесени за одобряване от компетентния орган съгласно ЗУТ.</w:t>
      </w:r>
    </w:p>
    <w:p w:rsidR="0024426B" w:rsidRPr="0024426B" w:rsidRDefault="0024426B" w:rsidP="00244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4426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</w:t>
      </w:r>
      <w:r w:rsidRPr="0024426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(1) Започнатите производства по въвеждане в експлоатация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на </w:t>
      </w:r>
      <w:r w:rsidR="00DB1C2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строежи</w:t>
      </w: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се довършват по досегашния ред. </w:t>
      </w:r>
    </w:p>
    <w:p w:rsidR="0024426B" w:rsidRPr="0024426B" w:rsidRDefault="0024426B" w:rsidP="00244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(2) За започнато производство по ал. 1 се счита съставянето на констативния акт по чл. 176, ал. 1 от ЗУТ за предаване от строителя на възложителя на завършен</w:t>
      </w:r>
      <w:r w:rsidR="00DB1C2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ия</w:t>
      </w: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DB1C2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строеж</w:t>
      </w: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24426B" w:rsidRPr="0024426B" w:rsidRDefault="0024426B" w:rsidP="00244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4426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5</w:t>
      </w:r>
      <w:r w:rsidRPr="0024426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Наредбата влиза в сила</w:t>
      </w:r>
      <w:r w:rsidR="00B873F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</w:t>
      </w:r>
      <w:r w:rsidR="00B873F5" w:rsidRPr="00B873F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датата на обнародването й в </w:t>
      </w:r>
      <w:r w:rsidRPr="002442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„Държавен вестник“.</w:t>
      </w:r>
    </w:p>
    <w:p w:rsidR="0024426B" w:rsidRPr="0024426B" w:rsidRDefault="0024426B" w:rsidP="00244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24426B" w:rsidRDefault="0024426B" w:rsidP="00B13B1C">
      <w:pPr>
        <w:widowControl w:val="0"/>
        <w:suppressAutoHyphens/>
        <w:autoSpaceDE w:val="0"/>
        <w:spacing w:after="0" w:line="240" w:lineRule="auto"/>
        <w:ind w:firstLine="850"/>
        <w:jc w:val="both"/>
      </w:pPr>
    </w:p>
    <w:sectPr w:rsidR="00244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1"/>
    <w:rsid w:val="000E573C"/>
    <w:rsid w:val="0024426B"/>
    <w:rsid w:val="003059F7"/>
    <w:rsid w:val="003D669A"/>
    <w:rsid w:val="00537E91"/>
    <w:rsid w:val="0055500E"/>
    <w:rsid w:val="008D4EAE"/>
    <w:rsid w:val="0095667F"/>
    <w:rsid w:val="009703F5"/>
    <w:rsid w:val="00976087"/>
    <w:rsid w:val="00B13B1C"/>
    <w:rsid w:val="00B873F5"/>
    <w:rsid w:val="00CF2D1E"/>
    <w:rsid w:val="00D54908"/>
    <w:rsid w:val="00DB1C20"/>
    <w:rsid w:val="00E0269D"/>
    <w:rsid w:val="00E37001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896E"/>
  <w15:chartTrackingRefBased/>
  <w15:docId w15:val="{D13CB43B-0337-4ED3-9514-5B67E66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GEORGIEVA DIMITROVA</dc:creator>
  <cp:keywords/>
  <dc:description/>
  <cp:lastModifiedBy>NONA GEORGIEVA DIMITROVA</cp:lastModifiedBy>
  <cp:revision>6</cp:revision>
  <dcterms:created xsi:type="dcterms:W3CDTF">2024-01-23T07:34:00Z</dcterms:created>
  <dcterms:modified xsi:type="dcterms:W3CDTF">2024-01-26T10:51:00Z</dcterms:modified>
</cp:coreProperties>
</file>